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EA5FC" w14:textId="361F4BFF" w:rsidR="00E66F98" w:rsidRDefault="00E66F98" w:rsidP="027627B2">
      <w:pPr>
        <w:jc w:val="center"/>
        <w:rPr>
          <w:rFonts w:asciiTheme="minorHAnsi" w:hAnsiTheme="minorHAnsi"/>
          <w:b/>
          <w:bCs/>
          <w:sz w:val="24"/>
          <w:u w:val="single"/>
          <w:lang w:val="en-GB"/>
        </w:rPr>
      </w:pPr>
      <w:r>
        <w:rPr>
          <w:noProof/>
        </w:rPr>
        <w:drawing>
          <wp:inline distT="0" distB="0" distL="0" distR="0" wp14:anchorId="69B3376C" wp14:editId="2AA3958F">
            <wp:extent cx="1653582" cy="572576"/>
            <wp:effectExtent l="0" t="0" r="5715" b="9525"/>
            <wp:docPr id="2" name="Picture 2" descr="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582" cy="572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7603CB" w14:textId="31F15A46" w:rsidR="2CDF5BE4" w:rsidRDefault="2CDF5BE4" w:rsidP="2CDF5BE4">
      <w:pPr>
        <w:rPr>
          <w:rFonts w:asciiTheme="minorHAnsi" w:hAnsiTheme="minorHAnsi"/>
          <w:b/>
          <w:bCs/>
          <w:sz w:val="24"/>
          <w:u w:val="single"/>
          <w:lang w:val="en-GB"/>
        </w:rPr>
      </w:pPr>
    </w:p>
    <w:p w14:paraId="797E4613" w14:textId="23F6A5B7" w:rsidR="00E66F98" w:rsidRDefault="00E66F98" w:rsidP="027627B2">
      <w:pPr>
        <w:jc w:val="center"/>
        <w:rPr>
          <w:rFonts w:asciiTheme="minorHAnsi" w:hAnsiTheme="minorHAnsi"/>
          <w:b/>
          <w:bCs/>
          <w:color w:val="002060"/>
          <w:sz w:val="36"/>
          <w:szCs w:val="36"/>
          <w:u w:val="thick"/>
          <w:lang w:val="en-GB"/>
        </w:rPr>
      </w:pPr>
      <w:r w:rsidRPr="027627B2">
        <w:rPr>
          <w:rFonts w:asciiTheme="minorHAnsi" w:hAnsiTheme="minorHAnsi"/>
          <w:b/>
          <w:bCs/>
          <w:color w:val="002060"/>
          <w:sz w:val="32"/>
          <w:szCs w:val="32"/>
          <w:u w:val="thick"/>
          <w:lang w:val="en-GB"/>
        </w:rPr>
        <w:t>Exam Access Arrangements Pre-referral advice</w:t>
      </w:r>
    </w:p>
    <w:p w14:paraId="2FB0760A" w14:textId="55A3D48A" w:rsidR="027627B2" w:rsidRDefault="027627B2" w:rsidP="027627B2">
      <w:pPr>
        <w:jc w:val="center"/>
        <w:rPr>
          <w:rFonts w:asciiTheme="minorHAnsi" w:hAnsiTheme="minorHAnsi"/>
          <w:b/>
          <w:bCs/>
          <w:color w:val="002060"/>
          <w:sz w:val="28"/>
          <w:szCs w:val="28"/>
          <w:u w:val="thick"/>
          <w:lang w:val="en-GB"/>
        </w:rPr>
      </w:pPr>
    </w:p>
    <w:p w14:paraId="2BBC10FA" w14:textId="78C42CA9" w:rsidR="00E66F98" w:rsidRPr="00F6144F" w:rsidRDefault="009174F4" w:rsidP="027627B2">
      <w:pPr>
        <w:jc w:val="both"/>
        <w:rPr>
          <w:rFonts w:asciiTheme="minorHAnsi" w:hAnsiTheme="minorHAnsi"/>
          <w:color w:val="002060"/>
          <w:sz w:val="24"/>
        </w:rPr>
      </w:pPr>
      <w:r w:rsidRPr="027627B2">
        <w:rPr>
          <w:rFonts w:asciiTheme="minorHAnsi" w:hAnsiTheme="minorHAnsi"/>
          <w:color w:val="002060"/>
          <w:sz w:val="24"/>
        </w:rPr>
        <w:t xml:space="preserve">Exam </w:t>
      </w:r>
      <w:r w:rsidR="00E66F98" w:rsidRPr="027627B2">
        <w:rPr>
          <w:rFonts w:asciiTheme="minorHAnsi" w:hAnsiTheme="minorHAnsi"/>
          <w:color w:val="002060"/>
          <w:sz w:val="24"/>
        </w:rPr>
        <w:t xml:space="preserve">Access Arrangements </w:t>
      </w:r>
      <w:r w:rsidRPr="027627B2">
        <w:rPr>
          <w:rFonts w:asciiTheme="minorHAnsi" w:hAnsiTheme="minorHAnsi"/>
          <w:color w:val="002060"/>
          <w:sz w:val="24"/>
        </w:rPr>
        <w:t>(EAA)</w:t>
      </w:r>
      <w:r w:rsidR="003A762B" w:rsidRPr="027627B2">
        <w:rPr>
          <w:rFonts w:asciiTheme="minorHAnsi" w:hAnsiTheme="minorHAnsi"/>
          <w:color w:val="002060"/>
          <w:sz w:val="24"/>
        </w:rPr>
        <w:t xml:space="preserve"> </w:t>
      </w:r>
      <w:r w:rsidR="00E66F98" w:rsidRPr="027627B2">
        <w:rPr>
          <w:rFonts w:asciiTheme="minorHAnsi" w:hAnsiTheme="minorHAnsi"/>
          <w:color w:val="002060"/>
          <w:sz w:val="24"/>
        </w:rPr>
        <w:t xml:space="preserve">allow candidates/learners with </w:t>
      </w:r>
      <w:r w:rsidR="003A762B" w:rsidRPr="027627B2">
        <w:rPr>
          <w:rFonts w:asciiTheme="minorHAnsi" w:hAnsiTheme="minorHAnsi"/>
          <w:color w:val="002060"/>
          <w:sz w:val="24"/>
        </w:rPr>
        <w:t xml:space="preserve">additional </w:t>
      </w:r>
      <w:r w:rsidR="00E66F98" w:rsidRPr="027627B2">
        <w:rPr>
          <w:rFonts w:asciiTheme="minorHAnsi" w:hAnsiTheme="minorHAnsi"/>
          <w:color w:val="002060"/>
          <w:sz w:val="24"/>
        </w:rPr>
        <w:t xml:space="preserve">needs, </w:t>
      </w:r>
      <w:proofErr w:type="gramStart"/>
      <w:r w:rsidR="00E66F98" w:rsidRPr="027627B2">
        <w:rPr>
          <w:rFonts w:asciiTheme="minorHAnsi" w:hAnsiTheme="minorHAnsi"/>
          <w:color w:val="002060"/>
          <w:sz w:val="24"/>
        </w:rPr>
        <w:t>disabilities</w:t>
      </w:r>
      <w:proofErr w:type="gramEnd"/>
      <w:r w:rsidR="003A762B" w:rsidRPr="027627B2">
        <w:rPr>
          <w:rFonts w:asciiTheme="minorHAnsi" w:hAnsiTheme="minorHAnsi"/>
          <w:color w:val="002060"/>
          <w:sz w:val="24"/>
        </w:rPr>
        <w:t xml:space="preserve"> </w:t>
      </w:r>
      <w:r w:rsidR="00E66F98" w:rsidRPr="027627B2">
        <w:rPr>
          <w:rFonts w:asciiTheme="minorHAnsi" w:hAnsiTheme="minorHAnsi"/>
          <w:color w:val="002060"/>
          <w:sz w:val="24"/>
        </w:rPr>
        <w:t>or temporary injuries to access the assessment without changing the demands of the assessment, e.g.</w:t>
      </w:r>
      <w:r w:rsidR="00E66F98" w:rsidRPr="00F6144F">
        <w:rPr>
          <w:rFonts w:asciiTheme="minorHAnsi" w:hAnsiTheme="minorHAnsi"/>
          <w:color w:val="002060"/>
          <w:sz w:val="24"/>
        </w:rPr>
        <w:t xml:space="preserve">, readers, scribes and Braille question papers. It should not unfairly advantage students compared to their peers but be in place to achieve a ‘level playing field’. </w:t>
      </w:r>
    </w:p>
    <w:p w14:paraId="06BB1A90" w14:textId="77777777" w:rsidR="00FF5581" w:rsidRPr="00F6144F" w:rsidRDefault="00FF5581">
      <w:pPr>
        <w:rPr>
          <w:rFonts w:asciiTheme="minorHAnsi" w:hAnsiTheme="minorHAnsi" w:cstheme="minorHAnsi"/>
          <w:color w:val="002060"/>
          <w:sz w:val="24"/>
        </w:rPr>
      </w:pPr>
    </w:p>
    <w:p w14:paraId="6ACBE566" w14:textId="718219EF" w:rsidR="009174F4" w:rsidRPr="00A843B1" w:rsidRDefault="009174F4" w:rsidP="2CDF5BE4">
      <w:pPr>
        <w:spacing w:line="276" w:lineRule="auto"/>
        <w:rPr>
          <w:rFonts w:asciiTheme="minorHAnsi" w:hAnsiTheme="minorHAnsi"/>
          <w:b/>
          <w:bCs/>
          <w:color w:val="002060"/>
          <w:sz w:val="24"/>
          <w:u w:val="thick"/>
        </w:rPr>
      </w:pPr>
      <w:r w:rsidRPr="00A843B1">
        <w:rPr>
          <w:rFonts w:asciiTheme="minorHAnsi" w:hAnsiTheme="minorHAnsi"/>
          <w:b/>
          <w:bCs/>
          <w:color w:val="002060"/>
          <w:sz w:val="24"/>
          <w:u w:val="thick"/>
        </w:rPr>
        <w:t>Should I refer a student to ALS for EAA?</w:t>
      </w:r>
    </w:p>
    <w:p w14:paraId="1D501CE8" w14:textId="3AF385DC" w:rsidR="009174F4" w:rsidRDefault="009174F4" w:rsidP="2CDF5BE4">
      <w:pPr>
        <w:spacing w:before="50" w:after="50" w:line="276" w:lineRule="auto"/>
        <w:rPr>
          <w:rFonts w:asciiTheme="minorHAnsi" w:hAnsiTheme="minorHAnsi"/>
          <w:b/>
          <w:bCs/>
          <w:color w:val="002060"/>
          <w:sz w:val="24"/>
          <w:lang w:val="en-GB"/>
        </w:rPr>
      </w:pPr>
      <w:r w:rsidRPr="7D2A230A">
        <w:rPr>
          <w:rFonts w:asciiTheme="minorHAnsi" w:hAnsiTheme="minorHAnsi"/>
          <w:b/>
          <w:bCs/>
          <w:color w:val="002060"/>
          <w:sz w:val="24"/>
          <w:lang w:val="en-GB"/>
        </w:rPr>
        <w:t xml:space="preserve">Students should be struggling across </w:t>
      </w:r>
      <w:r w:rsidRPr="7D2A230A">
        <w:rPr>
          <w:rFonts w:asciiTheme="minorHAnsi" w:hAnsiTheme="minorHAnsi"/>
          <w:b/>
          <w:bCs/>
          <w:color w:val="002060"/>
          <w:sz w:val="24"/>
          <w:u w:val="single"/>
          <w:lang w:val="en-GB"/>
        </w:rPr>
        <w:t>all</w:t>
      </w:r>
      <w:r w:rsidRPr="7D2A230A">
        <w:rPr>
          <w:rFonts w:asciiTheme="minorHAnsi" w:hAnsiTheme="minorHAnsi"/>
          <w:b/>
          <w:bCs/>
          <w:color w:val="002060"/>
          <w:sz w:val="24"/>
          <w:lang w:val="en-GB"/>
        </w:rPr>
        <w:t xml:space="preserve"> areas of non-practical study.</w:t>
      </w:r>
    </w:p>
    <w:p w14:paraId="2571B451" w14:textId="742CB0A8" w:rsidR="009174F4" w:rsidRPr="003A762B" w:rsidRDefault="009174F4" w:rsidP="2CDF5BE4">
      <w:pPr>
        <w:pStyle w:val="ListParagraph"/>
        <w:numPr>
          <w:ilvl w:val="0"/>
          <w:numId w:val="3"/>
        </w:numPr>
        <w:spacing w:before="50" w:after="50" w:line="276" w:lineRule="auto"/>
        <w:ind w:left="714" w:hanging="357"/>
        <w:rPr>
          <w:rFonts w:asciiTheme="minorHAnsi" w:hAnsiTheme="minorHAnsi"/>
          <w:color w:val="002060"/>
          <w:sz w:val="24"/>
          <w:lang w:val="en-GB"/>
        </w:rPr>
      </w:pPr>
      <w:r w:rsidRPr="2CDF5BE4">
        <w:rPr>
          <w:rFonts w:asciiTheme="minorHAnsi" w:hAnsiTheme="minorHAnsi"/>
          <w:color w:val="002060"/>
          <w:sz w:val="24"/>
          <w:lang w:val="en-GB"/>
        </w:rPr>
        <w:t xml:space="preserve">Is there evidence of a negative impact on their progress over time? </w:t>
      </w:r>
      <w:r w:rsidR="00120DF1" w:rsidRPr="2CDF5BE4">
        <w:rPr>
          <w:rFonts w:asciiTheme="minorHAnsi" w:hAnsiTheme="minorHAnsi"/>
          <w:color w:val="002060"/>
          <w:sz w:val="24"/>
          <w:lang w:val="en-GB"/>
        </w:rPr>
        <w:t>e.g.,</w:t>
      </w:r>
      <w:r w:rsidRPr="2CDF5BE4">
        <w:rPr>
          <w:rFonts w:asciiTheme="minorHAnsi" w:hAnsiTheme="minorHAnsi"/>
          <w:color w:val="002060"/>
          <w:sz w:val="24"/>
          <w:lang w:val="en-GB"/>
        </w:rPr>
        <w:t xml:space="preserve"> in more than 1 key assessment.</w:t>
      </w:r>
    </w:p>
    <w:p w14:paraId="48409854" w14:textId="77777777" w:rsidR="009174F4" w:rsidRPr="003A762B" w:rsidRDefault="009174F4" w:rsidP="2CDF5BE4">
      <w:pPr>
        <w:pStyle w:val="ListParagraph"/>
        <w:numPr>
          <w:ilvl w:val="0"/>
          <w:numId w:val="3"/>
        </w:numPr>
        <w:spacing w:before="50" w:after="50" w:line="276" w:lineRule="auto"/>
        <w:ind w:left="714" w:hanging="357"/>
        <w:rPr>
          <w:rFonts w:asciiTheme="minorHAnsi" w:hAnsiTheme="minorHAnsi"/>
          <w:color w:val="002060"/>
          <w:sz w:val="24"/>
          <w:lang w:val="en-GB"/>
        </w:rPr>
      </w:pPr>
      <w:r w:rsidRPr="2CDF5BE4">
        <w:rPr>
          <w:rFonts w:asciiTheme="minorHAnsi" w:hAnsiTheme="minorHAnsi"/>
          <w:color w:val="002060"/>
          <w:sz w:val="24"/>
          <w:lang w:val="en-GB"/>
        </w:rPr>
        <w:t>Have any other areas of need been explored that may be having a negative impact on progress e.g.</w:t>
      </w:r>
    </w:p>
    <w:p w14:paraId="161F5E92" w14:textId="76121D5E" w:rsidR="009174F4" w:rsidRPr="003A762B" w:rsidRDefault="682C1B5B" w:rsidP="2CDF5BE4">
      <w:pPr>
        <w:pStyle w:val="ListParagraph"/>
        <w:spacing w:before="50" w:after="50" w:line="276" w:lineRule="auto"/>
        <w:ind w:left="714" w:hanging="357"/>
        <w:rPr>
          <w:rFonts w:asciiTheme="minorHAnsi" w:hAnsiTheme="minorHAnsi"/>
          <w:color w:val="002060"/>
          <w:sz w:val="24"/>
          <w:lang w:val="en-GB"/>
        </w:rPr>
      </w:pPr>
      <w:r w:rsidRPr="2CDF5BE4">
        <w:rPr>
          <w:rFonts w:asciiTheme="minorHAnsi" w:hAnsiTheme="minorHAnsi"/>
          <w:color w:val="002060"/>
          <w:sz w:val="24"/>
          <w:lang w:val="en-GB"/>
        </w:rPr>
        <w:t xml:space="preserve">      </w:t>
      </w:r>
      <w:r w:rsidR="009174F4" w:rsidRPr="2CDF5BE4">
        <w:rPr>
          <w:rFonts w:asciiTheme="minorHAnsi" w:hAnsiTheme="minorHAnsi"/>
          <w:color w:val="002060"/>
          <w:sz w:val="24"/>
          <w:lang w:val="en-GB"/>
        </w:rPr>
        <w:t>external circumstances, PT employment, attendance/punctuality etc. – rather than a learning need.</w:t>
      </w:r>
    </w:p>
    <w:p w14:paraId="4C7BC408" w14:textId="20ED9675" w:rsidR="009174F4" w:rsidRPr="003A762B" w:rsidRDefault="009174F4" w:rsidP="2CDF5BE4">
      <w:pPr>
        <w:pStyle w:val="ListParagraph"/>
        <w:numPr>
          <w:ilvl w:val="0"/>
          <w:numId w:val="3"/>
        </w:numPr>
        <w:spacing w:before="50" w:after="50" w:line="276" w:lineRule="auto"/>
        <w:ind w:left="714" w:hanging="357"/>
        <w:rPr>
          <w:rFonts w:asciiTheme="minorHAnsi" w:hAnsiTheme="minorHAnsi"/>
          <w:color w:val="002060"/>
          <w:sz w:val="24"/>
          <w:lang w:val="en-GB"/>
        </w:rPr>
      </w:pPr>
      <w:r w:rsidRPr="2CDF5BE4">
        <w:rPr>
          <w:rFonts w:asciiTheme="minorHAnsi" w:hAnsiTheme="minorHAnsi"/>
          <w:color w:val="002060"/>
          <w:sz w:val="24"/>
          <w:lang w:val="en-GB"/>
        </w:rPr>
        <w:t>If students are running out of time, have they practiced effective exam techniques</w:t>
      </w:r>
      <w:r w:rsidR="003A762B" w:rsidRPr="2CDF5BE4">
        <w:rPr>
          <w:rFonts w:asciiTheme="minorHAnsi" w:hAnsiTheme="minorHAnsi"/>
          <w:color w:val="002060"/>
          <w:sz w:val="24"/>
          <w:lang w:val="en-GB"/>
        </w:rPr>
        <w:t xml:space="preserve"> / </w:t>
      </w:r>
      <w:r w:rsidRPr="2CDF5BE4">
        <w:rPr>
          <w:rFonts w:asciiTheme="minorHAnsi" w:hAnsiTheme="minorHAnsi"/>
          <w:color w:val="002060"/>
          <w:sz w:val="24"/>
          <w:lang w:val="en-GB"/>
        </w:rPr>
        <w:t xml:space="preserve">time management strategies to support this </w:t>
      </w:r>
      <w:r w:rsidR="00120DF1" w:rsidRPr="2CDF5BE4">
        <w:rPr>
          <w:rFonts w:asciiTheme="minorHAnsi" w:hAnsiTheme="minorHAnsi"/>
          <w:color w:val="002060"/>
          <w:sz w:val="24"/>
          <w:lang w:val="en-GB"/>
        </w:rPr>
        <w:t>e.g.,</w:t>
      </w:r>
      <w:r w:rsidRPr="2CDF5BE4">
        <w:rPr>
          <w:rFonts w:asciiTheme="minorHAnsi" w:hAnsiTheme="minorHAnsi"/>
          <w:color w:val="002060"/>
          <w:sz w:val="24"/>
          <w:lang w:val="en-GB"/>
        </w:rPr>
        <w:t xml:space="preserve"> weighting</w:t>
      </w:r>
      <w:r w:rsidR="003A762B" w:rsidRPr="2CDF5BE4">
        <w:rPr>
          <w:rFonts w:asciiTheme="minorHAnsi" w:hAnsiTheme="minorHAnsi"/>
          <w:color w:val="002060"/>
          <w:sz w:val="24"/>
          <w:lang w:val="en-GB"/>
        </w:rPr>
        <w:t xml:space="preserve"> / </w:t>
      </w:r>
      <w:r w:rsidRPr="2CDF5BE4">
        <w:rPr>
          <w:rFonts w:asciiTheme="minorHAnsi" w:hAnsiTheme="minorHAnsi"/>
          <w:color w:val="002060"/>
          <w:sz w:val="24"/>
          <w:lang w:val="en-GB"/>
        </w:rPr>
        <w:t>timings of questions, planning answers etc.</w:t>
      </w:r>
    </w:p>
    <w:p w14:paraId="431C3B33" w14:textId="4D417639" w:rsidR="009174F4" w:rsidRPr="003A762B" w:rsidRDefault="009174F4" w:rsidP="2CDF5BE4">
      <w:pPr>
        <w:pStyle w:val="ListParagraph"/>
        <w:numPr>
          <w:ilvl w:val="0"/>
          <w:numId w:val="3"/>
        </w:numPr>
        <w:spacing w:before="50" w:after="50" w:line="276" w:lineRule="auto"/>
        <w:ind w:left="714" w:hanging="357"/>
        <w:rPr>
          <w:rFonts w:asciiTheme="minorHAnsi" w:hAnsiTheme="minorHAnsi"/>
          <w:color w:val="002060"/>
          <w:sz w:val="24"/>
          <w:lang w:val="en-GB"/>
        </w:rPr>
      </w:pPr>
      <w:r w:rsidRPr="2CDF5BE4">
        <w:rPr>
          <w:rFonts w:asciiTheme="minorHAnsi" w:hAnsiTheme="minorHAnsi"/>
          <w:color w:val="002060"/>
          <w:sz w:val="24"/>
          <w:lang w:val="en-GB"/>
        </w:rPr>
        <w:t xml:space="preserve">Have they revised effectively? Do you feel reassured that any underperformance is not a result of lack of knowledge? </w:t>
      </w:r>
    </w:p>
    <w:p w14:paraId="2D17FAA1" w14:textId="2F21209D" w:rsidR="009174F4" w:rsidRPr="003A762B" w:rsidRDefault="009174F4" w:rsidP="2CDF5BE4">
      <w:pPr>
        <w:pStyle w:val="ListParagraph"/>
        <w:numPr>
          <w:ilvl w:val="0"/>
          <w:numId w:val="3"/>
        </w:numPr>
        <w:spacing w:before="50" w:after="50" w:line="276" w:lineRule="auto"/>
        <w:ind w:left="714" w:hanging="357"/>
        <w:rPr>
          <w:rFonts w:asciiTheme="minorHAnsi" w:hAnsiTheme="minorHAnsi"/>
          <w:color w:val="002060"/>
          <w:sz w:val="24"/>
          <w:lang w:val="en-GB"/>
        </w:rPr>
      </w:pPr>
      <w:r w:rsidRPr="2CDF5BE4">
        <w:rPr>
          <w:rFonts w:asciiTheme="minorHAnsi" w:hAnsiTheme="minorHAnsi"/>
          <w:color w:val="002060"/>
          <w:sz w:val="24"/>
          <w:lang w:val="en-GB"/>
        </w:rPr>
        <w:t>Are they engaging in the required level of independent study?</w:t>
      </w:r>
    </w:p>
    <w:p w14:paraId="0BF6C9EF" w14:textId="7550A70D" w:rsidR="009174F4" w:rsidRPr="003A762B" w:rsidRDefault="009174F4" w:rsidP="2CDF5BE4">
      <w:pPr>
        <w:pStyle w:val="ListParagraph"/>
        <w:numPr>
          <w:ilvl w:val="0"/>
          <w:numId w:val="3"/>
        </w:numPr>
        <w:spacing w:before="50" w:after="50" w:line="276" w:lineRule="auto"/>
        <w:ind w:left="714" w:hanging="357"/>
        <w:rPr>
          <w:rFonts w:asciiTheme="minorHAnsi" w:hAnsiTheme="minorHAnsi"/>
          <w:color w:val="002060"/>
          <w:sz w:val="24"/>
          <w:lang w:val="en-GB"/>
        </w:rPr>
      </w:pPr>
      <w:r w:rsidRPr="2CDF5BE4">
        <w:rPr>
          <w:rFonts w:asciiTheme="minorHAnsi" w:hAnsiTheme="minorHAnsi"/>
          <w:color w:val="002060"/>
          <w:sz w:val="24"/>
          <w:lang w:val="en-GB"/>
        </w:rPr>
        <w:t>Have other teachers reported any difficulties on the pastoral log?</w:t>
      </w:r>
    </w:p>
    <w:p w14:paraId="15AD8854" w14:textId="067BDB5D" w:rsidR="009174F4" w:rsidRPr="003A762B" w:rsidRDefault="009174F4" w:rsidP="2CDF5BE4">
      <w:pPr>
        <w:pStyle w:val="ListParagraph"/>
        <w:numPr>
          <w:ilvl w:val="0"/>
          <w:numId w:val="3"/>
        </w:numPr>
        <w:spacing w:before="50" w:after="50" w:line="276" w:lineRule="auto"/>
        <w:ind w:left="714" w:hanging="357"/>
        <w:rPr>
          <w:rFonts w:asciiTheme="minorHAnsi" w:hAnsiTheme="minorHAnsi"/>
          <w:color w:val="002060"/>
          <w:sz w:val="24"/>
          <w:lang w:val="en-GB"/>
        </w:rPr>
      </w:pPr>
      <w:r w:rsidRPr="2CDF5BE4">
        <w:rPr>
          <w:rFonts w:asciiTheme="minorHAnsi" w:hAnsiTheme="minorHAnsi"/>
          <w:color w:val="002060"/>
          <w:sz w:val="24"/>
          <w:lang w:val="en-GB"/>
        </w:rPr>
        <w:t xml:space="preserve">Is there a history of need </w:t>
      </w:r>
      <w:r w:rsidR="00120DF1" w:rsidRPr="2CDF5BE4">
        <w:rPr>
          <w:rFonts w:asciiTheme="minorHAnsi" w:hAnsiTheme="minorHAnsi"/>
          <w:color w:val="002060"/>
          <w:sz w:val="24"/>
          <w:lang w:val="en-GB"/>
        </w:rPr>
        <w:t>e.g.,</w:t>
      </w:r>
      <w:r w:rsidRPr="2CDF5BE4">
        <w:rPr>
          <w:rFonts w:asciiTheme="minorHAnsi" w:hAnsiTheme="minorHAnsi"/>
          <w:color w:val="002060"/>
          <w:sz w:val="24"/>
          <w:lang w:val="en-GB"/>
        </w:rPr>
        <w:t xml:space="preserve"> </w:t>
      </w:r>
      <w:r w:rsidR="461EC847" w:rsidRPr="2CDF5BE4">
        <w:rPr>
          <w:rFonts w:asciiTheme="minorHAnsi" w:hAnsiTheme="minorHAnsi"/>
          <w:color w:val="002060"/>
          <w:sz w:val="24"/>
          <w:lang w:val="en-GB"/>
        </w:rPr>
        <w:t xml:space="preserve">student identifies concerns from GCSEs/school, ongoing difficulties in college </w:t>
      </w:r>
      <w:proofErr w:type="gramStart"/>
      <w:r w:rsidR="461EC847" w:rsidRPr="2CDF5BE4">
        <w:rPr>
          <w:rFonts w:asciiTheme="minorHAnsi" w:hAnsiTheme="minorHAnsi"/>
          <w:color w:val="002060"/>
          <w:sz w:val="24"/>
          <w:lang w:val="en-GB"/>
        </w:rPr>
        <w:t>courses</w:t>
      </w:r>
      <w:proofErr w:type="gramEnd"/>
    </w:p>
    <w:p w14:paraId="3D53C254" w14:textId="648A473D" w:rsidR="009174F4" w:rsidRPr="003A762B" w:rsidRDefault="009174F4" w:rsidP="2CDF5BE4">
      <w:pPr>
        <w:pStyle w:val="ListParagraph"/>
        <w:numPr>
          <w:ilvl w:val="0"/>
          <w:numId w:val="3"/>
        </w:numPr>
        <w:spacing w:before="50" w:after="50" w:line="276" w:lineRule="auto"/>
        <w:ind w:left="714" w:hanging="357"/>
        <w:rPr>
          <w:rFonts w:asciiTheme="minorHAnsi" w:hAnsiTheme="minorHAnsi"/>
          <w:color w:val="002060"/>
          <w:sz w:val="24"/>
          <w:lang w:val="en-GB"/>
        </w:rPr>
      </w:pPr>
      <w:r w:rsidRPr="2CDF5BE4">
        <w:rPr>
          <w:rFonts w:asciiTheme="minorHAnsi" w:hAnsiTheme="minorHAnsi"/>
          <w:color w:val="002060"/>
          <w:sz w:val="24"/>
          <w:lang w:val="en-GB"/>
        </w:rPr>
        <w:t>If a medical need, have they any evidence to support this?</w:t>
      </w:r>
    </w:p>
    <w:p w14:paraId="25E1DD9A" w14:textId="77777777" w:rsidR="003A762B" w:rsidRDefault="009174F4" w:rsidP="2CDF5BE4">
      <w:pPr>
        <w:pStyle w:val="ListParagraph"/>
        <w:numPr>
          <w:ilvl w:val="0"/>
          <w:numId w:val="3"/>
        </w:numPr>
        <w:spacing w:before="50" w:after="50" w:line="276" w:lineRule="auto"/>
        <w:ind w:left="714" w:hanging="357"/>
        <w:rPr>
          <w:rFonts w:asciiTheme="minorHAnsi" w:hAnsiTheme="minorHAnsi"/>
          <w:color w:val="002060"/>
          <w:sz w:val="24"/>
          <w:lang w:val="en-GB"/>
        </w:rPr>
      </w:pPr>
      <w:r w:rsidRPr="2CDF5BE4">
        <w:rPr>
          <w:rFonts w:asciiTheme="minorHAnsi" w:hAnsiTheme="minorHAnsi"/>
          <w:color w:val="002060"/>
          <w:sz w:val="24"/>
          <w:lang w:val="en-GB"/>
        </w:rPr>
        <w:t>Is the student happy to be referred and for ALS to contact all their teachers?</w:t>
      </w:r>
    </w:p>
    <w:p w14:paraId="0B19750C" w14:textId="2C0B7FAF" w:rsidR="2CDF5BE4" w:rsidRDefault="2CDF5BE4" w:rsidP="2CDF5BE4">
      <w:pPr>
        <w:pStyle w:val="ListParagraph"/>
        <w:spacing w:before="50" w:after="50" w:line="276" w:lineRule="auto"/>
        <w:ind w:left="714" w:hanging="357"/>
        <w:rPr>
          <w:rFonts w:asciiTheme="minorHAnsi" w:hAnsiTheme="minorHAnsi"/>
          <w:color w:val="002060"/>
          <w:sz w:val="24"/>
          <w:lang w:val="en-GB"/>
        </w:rPr>
      </w:pPr>
    </w:p>
    <w:p w14:paraId="7EDCC37E" w14:textId="75A02A45" w:rsidR="009174F4" w:rsidRPr="00E2258D" w:rsidRDefault="009174F4" w:rsidP="2CDF5BE4">
      <w:pPr>
        <w:spacing w:before="50" w:after="50" w:line="360" w:lineRule="auto"/>
        <w:rPr>
          <w:rFonts w:asciiTheme="minorHAnsi" w:hAnsiTheme="minorHAnsi"/>
          <w:color w:val="002060"/>
          <w:sz w:val="24"/>
          <w:lang w:val="en-GB"/>
        </w:rPr>
      </w:pPr>
      <w:r w:rsidRPr="2CDF5BE4">
        <w:rPr>
          <w:rFonts w:asciiTheme="minorHAnsi" w:hAnsiTheme="minorHAnsi"/>
          <w:b/>
          <w:bCs/>
          <w:color w:val="002060"/>
          <w:kern w:val="24"/>
          <w:sz w:val="24"/>
          <w:lang w:val="en-GB" w:eastAsia="en-GB"/>
        </w:rPr>
        <w:t xml:space="preserve">Please </w:t>
      </w:r>
      <w:r w:rsidR="1788BBD5" w:rsidRPr="2CDF5BE4">
        <w:rPr>
          <w:rFonts w:asciiTheme="minorHAnsi" w:hAnsiTheme="minorHAnsi"/>
          <w:b/>
          <w:bCs/>
          <w:color w:val="002060"/>
          <w:kern w:val="24"/>
          <w:sz w:val="24"/>
          <w:lang w:val="en-GB" w:eastAsia="en-GB"/>
        </w:rPr>
        <w:t>note:</w:t>
      </w:r>
      <w:r w:rsidRPr="2CDF5BE4">
        <w:rPr>
          <w:rFonts w:asciiTheme="minorHAnsi" w:hAnsiTheme="minorHAnsi"/>
          <w:b/>
          <w:bCs/>
          <w:color w:val="002060"/>
          <w:kern w:val="24"/>
          <w:sz w:val="24"/>
          <w:lang w:val="en-GB" w:eastAsia="en-GB"/>
        </w:rPr>
        <w:t xml:space="preserve"> </w:t>
      </w:r>
    </w:p>
    <w:p w14:paraId="7644AC63" w14:textId="3EA48BA8" w:rsidR="009174F4" w:rsidRPr="00E2258D" w:rsidRDefault="009174F4" w:rsidP="2CDF5BE4">
      <w:pPr>
        <w:numPr>
          <w:ilvl w:val="0"/>
          <w:numId w:val="1"/>
        </w:numPr>
        <w:spacing w:line="276" w:lineRule="auto"/>
        <w:ind w:left="1080"/>
        <w:contextualSpacing/>
        <w:rPr>
          <w:rFonts w:asciiTheme="minorHAnsi" w:hAnsiTheme="minorHAnsi"/>
          <w:b/>
          <w:bCs/>
          <w:color w:val="002060"/>
          <w:sz w:val="24"/>
          <w:lang w:val="en-GB" w:eastAsia="en-GB"/>
        </w:rPr>
      </w:pPr>
      <w:r w:rsidRPr="2CDF5BE4">
        <w:rPr>
          <w:rFonts w:asciiTheme="minorHAnsi" w:hAnsiTheme="minorHAnsi"/>
          <w:b/>
          <w:bCs/>
          <w:color w:val="002060"/>
          <w:kern w:val="24"/>
          <w:sz w:val="24"/>
          <w:lang w:val="en-GB" w:eastAsia="en-GB"/>
        </w:rPr>
        <w:t xml:space="preserve">General exam anxiety is not a reason for any EAA </w:t>
      </w:r>
      <w:proofErr w:type="gramStart"/>
      <w:r w:rsidRPr="2CDF5BE4">
        <w:rPr>
          <w:rFonts w:asciiTheme="minorHAnsi" w:hAnsiTheme="minorHAnsi"/>
          <w:b/>
          <w:bCs/>
          <w:color w:val="002060"/>
          <w:kern w:val="24"/>
          <w:sz w:val="24"/>
          <w:lang w:val="en-GB" w:eastAsia="en-GB"/>
        </w:rPr>
        <w:t>e.g.</w:t>
      </w:r>
      <w:proofErr w:type="gramEnd"/>
      <w:r w:rsidRPr="2CDF5BE4">
        <w:rPr>
          <w:rFonts w:asciiTheme="minorHAnsi" w:hAnsiTheme="minorHAnsi"/>
          <w:b/>
          <w:bCs/>
          <w:color w:val="002060"/>
          <w:kern w:val="24"/>
          <w:sz w:val="24"/>
          <w:lang w:val="en-GB" w:eastAsia="en-GB"/>
        </w:rPr>
        <w:t xml:space="preserve"> </w:t>
      </w:r>
      <w:r w:rsidR="1E906108" w:rsidRPr="2CDF5BE4">
        <w:rPr>
          <w:rFonts w:asciiTheme="minorHAnsi" w:hAnsiTheme="minorHAnsi"/>
          <w:b/>
          <w:bCs/>
          <w:color w:val="002060"/>
          <w:kern w:val="24"/>
          <w:sz w:val="24"/>
          <w:lang w:val="en-GB" w:eastAsia="en-GB"/>
        </w:rPr>
        <w:t>alternative</w:t>
      </w:r>
      <w:r w:rsidRPr="2CDF5BE4">
        <w:rPr>
          <w:rFonts w:asciiTheme="minorHAnsi" w:hAnsiTheme="minorHAnsi"/>
          <w:b/>
          <w:bCs/>
          <w:color w:val="002060"/>
          <w:kern w:val="24"/>
          <w:sz w:val="24"/>
          <w:lang w:val="en-GB" w:eastAsia="en-GB"/>
        </w:rPr>
        <w:t xml:space="preserve"> room.</w:t>
      </w:r>
    </w:p>
    <w:p w14:paraId="4396364B" w14:textId="29EE9A55" w:rsidR="009174F4" w:rsidRPr="00E2258D" w:rsidRDefault="009174F4" w:rsidP="2CDF5BE4">
      <w:pPr>
        <w:numPr>
          <w:ilvl w:val="0"/>
          <w:numId w:val="1"/>
        </w:numPr>
        <w:spacing w:line="276" w:lineRule="auto"/>
        <w:ind w:left="1080"/>
        <w:contextualSpacing/>
        <w:rPr>
          <w:rFonts w:asciiTheme="minorHAnsi" w:hAnsiTheme="minorHAnsi"/>
          <w:b/>
          <w:bCs/>
          <w:color w:val="002060"/>
          <w:sz w:val="24"/>
          <w:lang w:val="en-GB" w:eastAsia="en-GB"/>
        </w:rPr>
      </w:pPr>
      <w:r w:rsidRPr="2CDF5BE4">
        <w:rPr>
          <w:rFonts w:asciiTheme="minorHAnsi" w:hAnsiTheme="minorHAnsi"/>
          <w:b/>
          <w:bCs/>
          <w:color w:val="002060"/>
          <w:kern w:val="24"/>
          <w:sz w:val="24"/>
          <w:lang w:val="en-GB" w:eastAsia="en-GB"/>
        </w:rPr>
        <w:t>Being diagnosed with anxiety does not automatically qualify a student for a</w:t>
      </w:r>
      <w:r w:rsidR="2D79112F" w:rsidRPr="2CDF5BE4">
        <w:rPr>
          <w:rFonts w:asciiTheme="minorHAnsi" w:hAnsiTheme="minorHAnsi"/>
          <w:b/>
          <w:bCs/>
          <w:color w:val="002060"/>
          <w:kern w:val="24"/>
          <w:sz w:val="24"/>
          <w:lang w:val="en-GB" w:eastAsia="en-GB"/>
        </w:rPr>
        <w:t>n</w:t>
      </w:r>
      <w:r w:rsidRPr="2CDF5BE4">
        <w:rPr>
          <w:rFonts w:asciiTheme="minorHAnsi" w:hAnsiTheme="minorHAnsi"/>
          <w:b/>
          <w:bCs/>
          <w:color w:val="002060"/>
          <w:kern w:val="24"/>
          <w:sz w:val="24"/>
          <w:lang w:val="en-GB" w:eastAsia="en-GB"/>
        </w:rPr>
        <w:t xml:space="preserve"> </w:t>
      </w:r>
      <w:r w:rsidR="21A4C892" w:rsidRPr="2CDF5BE4">
        <w:rPr>
          <w:rFonts w:asciiTheme="minorHAnsi" w:hAnsiTheme="minorHAnsi"/>
          <w:b/>
          <w:bCs/>
          <w:color w:val="002060"/>
          <w:kern w:val="24"/>
          <w:sz w:val="24"/>
          <w:lang w:val="en-GB" w:eastAsia="en-GB"/>
        </w:rPr>
        <w:t>alternative</w:t>
      </w:r>
      <w:r w:rsidRPr="2CDF5BE4">
        <w:rPr>
          <w:rFonts w:asciiTheme="minorHAnsi" w:hAnsiTheme="minorHAnsi"/>
          <w:b/>
          <w:bCs/>
          <w:color w:val="002060"/>
          <w:kern w:val="24"/>
          <w:sz w:val="24"/>
          <w:lang w:val="en-GB" w:eastAsia="en-GB"/>
        </w:rPr>
        <w:t xml:space="preserve"> room – it must be their normal way of working within college.</w:t>
      </w:r>
    </w:p>
    <w:p w14:paraId="74ADBD79" w14:textId="6685B139" w:rsidR="009174F4" w:rsidRPr="00E2258D" w:rsidRDefault="009174F4" w:rsidP="2CDF5BE4">
      <w:pPr>
        <w:numPr>
          <w:ilvl w:val="0"/>
          <w:numId w:val="1"/>
        </w:numPr>
        <w:spacing w:line="276" w:lineRule="auto"/>
        <w:ind w:left="1080"/>
        <w:contextualSpacing/>
        <w:rPr>
          <w:rFonts w:asciiTheme="minorHAnsi" w:eastAsia="Times New Roman" w:hAnsiTheme="minorHAnsi"/>
          <w:b/>
          <w:bCs/>
          <w:color w:val="002060"/>
          <w:sz w:val="24"/>
          <w:lang w:val="en-GB" w:eastAsia="en-GB"/>
        </w:rPr>
      </w:pPr>
      <w:r w:rsidRPr="2CDF5BE4">
        <w:rPr>
          <w:rFonts w:asciiTheme="minorHAnsi" w:hAnsiTheme="minorHAnsi"/>
          <w:b/>
          <w:bCs/>
          <w:color w:val="002060"/>
          <w:kern w:val="24"/>
          <w:sz w:val="24"/>
          <w:lang w:val="en-GB" w:eastAsia="en-GB"/>
        </w:rPr>
        <w:t xml:space="preserve">Students cannot use a </w:t>
      </w:r>
      <w:r w:rsidR="003A762B" w:rsidRPr="2CDF5BE4">
        <w:rPr>
          <w:rFonts w:asciiTheme="minorHAnsi" w:hAnsiTheme="minorHAnsi"/>
          <w:b/>
          <w:bCs/>
          <w:color w:val="002060"/>
          <w:kern w:val="24"/>
          <w:sz w:val="24"/>
          <w:lang w:val="en-GB" w:eastAsia="en-GB"/>
        </w:rPr>
        <w:t>computer</w:t>
      </w:r>
      <w:r w:rsidR="3F7951DF" w:rsidRPr="2CDF5BE4">
        <w:rPr>
          <w:rFonts w:asciiTheme="minorHAnsi" w:hAnsiTheme="minorHAnsi"/>
          <w:b/>
          <w:bCs/>
          <w:color w:val="002060"/>
          <w:kern w:val="24"/>
          <w:sz w:val="24"/>
          <w:lang w:val="en-GB" w:eastAsia="en-GB"/>
        </w:rPr>
        <w:t xml:space="preserve"> for exams</w:t>
      </w:r>
      <w:r w:rsidRPr="2CDF5BE4">
        <w:rPr>
          <w:rFonts w:asciiTheme="minorHAnsi" w:hAnsiTheme="minorHAnsi"/>
          <w:b/>
          <w:bCs/>
          <w:color w:val="002060"/>
          <w:kern w:val="24"/>
          <w:sz w:val="24"/>
          <w:lang w:val="en-GB" w:eastAsia="en-GB"/>
        </w:rPr>
        <w:t xml:space="preserve"> just because they feel this will improve </w:t>
      </w:r>
      <w:r w:rsidR="003A762B" w:rsidRPr="2CDF5BE4">
        <w:rPr>
          <w:rFonts w:asciiTheme="minorHAnsi" w:hAnsiTheme="minorHAnsi"/>
          <w:b/>
          <w:bCs/>
          <w:color w:val="002060"/>
          <w:kern w:val="24"/>
          <w:sz w:val="24"/>
          <w:lang w:val="en-GB" w:eastAsia="en-GB"/>
        </w:rPr>
        <w:t xml:space="preserve">their </w:t>
      </w:r>
      <w:r w:rsidRPr="2CDF5BE4">
        <w:rPr>
          <w:rFonts w:asciiTheme="minorHAnsi" w:hAnsiTheme="minorHAnsi"/>
          <w:b/>
          <w:bCs/>
          <w:color w:val="002060"/>
          <w:kern w:val="24"/>
          <w:sz w:val="24"/>
          <w:lang w:val="en-GB" w:eastAsia="en-GB"/>
        </w:rPr>
        <w:t xml:space="preserve">speed of working or </w:t>
      </w:r>
      <w:r w:rsidR="003A762B" w:rsidRPr="2CDF5BE4">
        <w:rPr>
          <w:rFonts w:asciiTheme="minorHAnsi" w:hAnsiTheme="minorHAnsi"/>
          <w:b/>
          <w:bCs/>
          <w:color w:val="002060"/>
          <w:kern w:val="24"/>
          <w:sz w:val="24"/>
          <w:lang w:val="en-GB" w:eastAsia="en-GB"/>
        </w:rPr>
        <w:t xml:space="preserve">it’s their </w:t>
      </w:r>
      <w:r w:rsidRPr="2CDF5BE4">
        <w:rPr>
          <w:rFonts w:asciiTheme="minorHAnsi" w:hAnsiTheme="minorHAnsi"/>
          <w:b/>
          <w:bCs/>
          <w:color w:val="002060"/>
          <w:kern w:val="24"/>
          <w:sz w:val="24"/>
          <w:lang w:val="en-GB" w:eastAsia="en-GB"/>
        </w:rPr>
        <w:t>personal preference.</w:t>
      </w:r>
    </w:p>
    <w:p w14:paraId="484AD02E" w14:textId="47B9F400" w:rsidR="009174F4" w:rsidRPr="00E2258D" w:rsidRDefault="009174F4" w:rsidP="2CDF5BE4">
      <w:pPr>
        <w:numPr>
          <w:ilvl w:val="0"/>
          <w:numId w:val="1"/>
        </w:numPr>
        <w:spacing w:line="276" w:lineRule="auto"/>
        <w:ind w:left="1080"/>
        <w:contextualSpacing/>
        <w:rPr>
          <w:rFonts w:asciiTheme="minorHAnsi" w:eastAsia="Times New Roman" w:hAnsiTheme="minorHAnsi"/>
          <w:b/>
          <w:bCs/>
          <w:color w:val="002060"/>
          <w:sz w:val="24"/>
          <w:lang w:val="en-GB" w:eastAsia="en-GB"/>
        </w:rPr>
      </w:pPr>
      <w:r w:rsidRPr="2CDF5BE4">
        <w:rPr>
          <w:rFonts w:asciiTheme="minorHAnsi" w:hAnsiTheme="minorHAnsi"/>
          <w:b/>
          <w:bCs/>
          <w:color w:val="002060"/>
          <w:kern w:val="24"/>
          <w:sz w:val="24"/>
          <w:lang w:val="en-GB" w:eastAsia="en-GB"/>
        </w:rPr>
        <w:t xml:space="preserve">Students with a medical need must trial rest breaks in a series of formal assessments before </w:t>
      </w:r>
      <w:r w:rsidR="003A762B" w:rsidRPr="2CDF5BE4">
        <w:rPr>
          <w:rFonts w:asciiTheme="minorHAnsi" w:hAnsiTheme="minorHAnsi"/>
          <w:b/>
          <w:bCs/>
          <w:color w:val="002060"/>
          <w:kern w:val="24"/>
          <w:sz w:val="24"/>
          <w:lang w:val="en-GB" w:eastAsia="en-GB"/>
        </w:rPr>
        <w:t xml:space="preserve">Extra Time </w:t>
      </w:r>
      <w:r w:rsidRPr="2CDF5BE4">
        <w:rPr>
          <w:rFonts w:asciiTheme="minorHAnsi" w:hAnsiTheme="minorHAnsi"/>
          <w:b/>
          <w:bCs/>
          <w:color w:val="002060"/>
          <w:kern w:val="24"/>
          <w:sz w:val="24"/>
          <w:lang w:val="en-GB" w:eastAsia="en-GB"/>
        </w:rPr>
        <w:t>can be considered.</w:t>
      </w:r>
    </w:p>
    <w:p w14:paraId="79214D0C" w14:textId="03F3962E" w:rsidR="009174F4" w:rsidRPr="00E2258D" w:rsidRDefault="009174F4" w:rsidP="2CDF5BE4">
      <w:pPr>
        <w:numPr>
          <w:ilvl w:val="0"/>
          <w:numId w:val="1"/>
        </w:numPr>
        <w:spacing w:line="276" w:lineRule="auto"/>
        <w:ind w:left="1080"/>
        <w:contextualSpacing/>
        <w:rPr>
          <w:rFonts w:asciiTheme="minorHAnsi" w:eastAsia="Times New Roman" w:hAnsiTheme="minorHAnsi"/>
          <w:b/>
          <w:bCs/>
          <w:color w:val="002060"/>
          <w:sz w:val="24"/>
          <w:lang w:val="en-GB" w:eastAsia="en-GB"/>
        </w:rPr>
      </w:pPr>
      <w:r w:rsidRPr="2CDF5BE4">
        <w:rPr>
          <w:rFonts w:asciiTheme="minorHAnsi" w:hAnsiTheme="minorHAnsi"/>
          <w:b/>
          <w:bCs/>
          <w:color w:val="002060"/>
          <w:kern w:val="24"/>
          <w:sz w:val="24"/>
          <w:lang w:val="en-GB" w:eastAsia="en-GB"/>
        </w:rPr>
        <w:t>JCQ make annual changes to EAA guidance therefore what was provided in school may not be allowed under the new guidance</w:t>
      </w:r>
      <w:r w:rsidR="003A762B" w:rsidRPr="2CDF5BE4">
        <w:rPr>
          <w:rFonts w:asciiTheme="minorHAnsi" w:hAnsiTheme="minorHAnsi"/>
          <w:b/>
          <w:bCs/>
          <w:color w:val="002060"/>
          <w:kern w:val="24"/>
          <w:sz w:val="24"/>
          <w:lang w:val="en-GB" w:eastAsia="en-GB"/>
        </w:rPr>
        <w:t xml:space="preserve">, </w:t>
      </w:r>
      <w:proofErr w:type="gramStart"/>
      <w:r w:rsidR="003A762B" w:rsidRPr="2CDF5BE4">
        <w:rPr>
          <w:rFonts w:asciiTheme="minorHAnsi" w:hAnsiTheme="minorHAnsi"/>
          <w:b/>
          <w:bCs/>
          <w:color w:val="002060"/>
          <w:kern w:val="24"/>
          <w:sz w:val="24"/>
          <w:lang w:val="en-GB" w:eastAsia="en-GB"/>
        </w:rPr>
        <w:t>e</w:t>
      </w:r>
      <w:r w:rsidRPr="2CDF5BE4">
        <w:rPr>
          <w:rFonts w:asciiTheme="minorHAnsi" w:hAnsiTheme="minorHAnsi"/>
          <w:b/>
          <w:bCs/>
          <w:color w:val="002060"/>
          <w:kern w:val="24"/>
          <w:sz w:val="24"/>
          <w:lang w:val="en-GB" w:eastAsia="en-GB"/>
        </w:rPr>
        <w:t>.g.</w:t>
      </w:r>
      <w:proofErr w:type="gramEnd"/>
      <w:r w:rsidRPr="2CDF5BE4">
        <w:rPr>
          <w:rFonts w:asciiTheme="minorHAnsi" w:hAnsiTheme="minorHAnsi"/>
          <w:b/>
          <w:bCs/>
          <w:color w:val="002060"/>
          <w:kern w:val="24"/>
          <w:sz w:val="24"/>
          <w:lang w:val="en-GB" w:eastAsia="en-GB"/>
        </w:rPr>
        <w:t xml:space="preserve"> scribe.</w:t>
      </w:r>
    </w:p>
    <w:p w14:paraId="0D95CB7C" w14:textId="5C05BE78" w:rsidR="009174F4" w:rsidRPr="00E2258D" w:rsidRDefault="009174F4" w:rsidP="2CDF5BE4">
      <w:pPr>
        <w:numPr>
          <w:ilvl w:val="0"/>
          <w:numId w:val="1"/>
        </w:numPr>
        <w:spacing w:line="276" w:lineRule="auto"/>
        <w:ind w:left="1080"/>
        <w:contextualSpacing/>
        <w:rPr>
          <w:rFonts w:asciiTheme="minorHAnsi" w:eastAsia="Times New Roman" w:hAnsiTheme="minorHAnsi"/>
          <w:b/>
          <w:bCs/>
          <w:color w:val="002060"/>
          <w:sz w:val="24"/>
          <w:lang w:val="en-GB" w:eastAsia="en-GB"/>
        </w:rPr>
      </w:pPr>
      <w:r w:rsidRPr="2CDF5BE4">
        <w:rPr>
          <w:rFonts w:asciiTheme="minorHAnsi" w:hAnsiTheme="minorHAnsi"/>
          <w:b/>
          <w:bCs/>
          <w:color w:val="002060"/>
          <w:kern w:val="24"/>
          <w:sz w:val="24"/>
          <w:lang w:val="en-GB" w:eastAsia="en-GB"/>
        </w:rPr>
        <w:t xml:space="preserve">We </w:t>
      </w:r>
      <w:r w:rsidR="003A762B" w:rsidRPr="2CDF5BE4">
        <w:rPr>
          <w:rFonts w:asciiTheme="minorHAnsi" w:hAnsiTheme="minorHAnsi"/>
          <w:b/>
          <w:bCs/>
          <w:color w:val="002060"/>
          <w:kern w:val="24"/>
          <w:sz w:val="24"/>
          <w:lang w:val="en-GB" w:eastAsia="en-GB"/>
        </w:rPr>
        <w:t>must</w:t>
      </w:r>
      <w:r w:rsidRPr="2CDF5BE4">
        <w:rPr>
          <w:rFonts w:asciiTheme="minorHAnsi" w:hAnsiTheme="minorHAnsi"/>
          <w:b/>
          <w:bCs/>
          <w:color w:val="002060"/>
          <w:kern w:val="24"/>
          <w:sz w:val="24"/>
          <w:lang w:val="en-GB" w:eastAsia="en-GB"/>
        </w:rPr>
        <w:t xml:space="preserve"> prioritise students with impending exams which means some may</w:t>
      </w:r>
      <w:r w:rsidR="003A762B" w:rsidRPr="2CDF5BE4">
        <w:rPr>
          <w:rFonts w:asciiTheme="minorHAnsi" w:hAnsiTheme="minorHAnsi"/>
          <w:b/>
          <w:bCs/>
          <w:color w:val="002060"/>
          <w:kern w:val="24"/>
          <w:sz w:val="24"/>
          <w:lang w:val="en-GB" w:eastAsia="en-GB"/>
        </w:rPr>
        <w:t xml:space="preserve"> have to</w:t>
      </w:r>
      <w:r w:rsidRPr="2CDF5BE4">
        <w:rPr>
          <w:rFonts w:asciiTheme="minorHAnsi" w:hAnsiTheme="minorHAnsi"/>
          <w:b/>
          <w:bCs/>
          <w:color w:val="002060"/>
          <w:kern w:val="24"/>
          <w:sz w:val="24"/>
          <w:lang w:val="en-GB" w:eastAsia="en-GB"/>
        </w:rPr>
        <w:t xml:space="preserve"> wait for assessment.</w:t>
      </w:r>
    </w:p>
    <w:p w14:paraId="46AC0CEB" w14:textId="77777777" w:rsidR="009174F4" w:rsidRPr="00E2258D" w:rsidRDefault="009174F4" w:rsidP="2CDF5BE4">
      <w:pPr>
        <w:numPr>
          <w:ilvl w:val="0"/>
          <w:numId w:val="1"/>
        </w:numPr>
        <w:spacing w:line="276" w:lineRule="auto"/>
        <w:ind w:left="1080"/>
        <w:contextualSpacing/>
        <w:rPr>
          <w:rFonts w:asciiTheme="minorHAnsi" w:eastAsia="Times New Roman" w:hAnsiTheme="minorHAnsi"/>
          <w:b/>
          <w:bCs/>
          <w:color w:val="002060"/>
          <w:sz w:val="24"/>
          <w:lang w:val="en-GB" w:eastAsia="en-GB"/>
        </w:rPr>
      </w:pPr>
      <w:r w:rsidRPr="2CDF5BE4">
        <w:rPr>
          <w:rFonts w:asciiTheme="minorHAnsi" w:hAnsiTheme="minorHAnsi"/>
          <w:b/>
          <w:bCs/>
          <w:color w:val="002060"/>
          <w:kern w:val="24"/>
          <w:sz w:val="24"/>
          <w:lang w:val="en-GB" w:eastAsia="en-GB"/>
        </w:rPr>
        <w:t>EAA should be in place before students sit their first external exam or start coursework.</w:t>
      </w:r>
    </w:p>
    <w:p w14:paraId="481F335D" w14:textId="68FF2B94" w:rsidR="797F094E" w:rsidRDefault="797F094E" w:rsidP="2CDF5BE4">
      <w:pPr>
        <w:numPr>
          <w:ilvl w:val="0"/>
          <w:numId w:val="1"/>
        </w:numPr>
        <w:spacing w:line="276" w:lineRule="auto"/>
        <w:ind w:left="1080"/>
        <w:contextualSpacing/>
        <w:rPr>
          <w:rFonts w:asciiTheme="minorHAnsi" w:hAnsiTheme="minorHAnsi"/>
          <w:b/>
          <w:bCs/>
          <w:color w:val="002060"/>
          <w:sz w:val="24"/>
          <w:lang w:val="en-GB" w:eastAsia="en-GB"/>
        </w:rPr>
      </w:pPr>
      <w:r w:rsidRPr="2CDF5BE4">
        <w:rPr>
          <w:rFonts w:asciiTheme="minorHAnsi" w:hAnsiTheme="minorHAnsi"/>
          <w:b/>
          <w:bCs/>
          <w:color w:val="002060"/>
          <w:sz w:val="24"/>
          <w:lang w:val="en-GB" w:eastAsia="en-GB"/>
        </w:rPr>
        <w:t>Referrals for Upper 6</w:t>
      </w:r>
      <w:r w:rsidRPr="2CDF5BE4">
        <w:rPr>
          <w:rFonts w:asciiTheme="minorHAnsi" w:hAnsiTheme="minorHAnsi"/>
          <w:b/>
          <w:bCs/>
          <w:color w:val="002060"/>
          <w:sz w:val="24"/>
          <w:vertAlign w:val="superscript"/>
          <w:lang w:val="en-GB" w:eastAsia="en-GB"/>
        </w:rPr>
        <w:t>th</w:t>
      </w:r>
      <w:r w:rsidRPr="2CDF5BE4">
        <w:rPr>
          <w:rFonts w:asciiTheme="minorHAnsi" w:hAnsiTheme="minorHAnsi"/>
          <w:b/>
          <w:bCs/>
          <w:color w:val="002060"/>
          <w:sz w:val="24"/>
          <w:lang w:val="en-GB" w:eastAsia="en-GB"/>
        </w:rPr>
        <w:t xml:space="preserve"> should be made before </w:t>
      </w:r>
      <w:r w:rsidRPr="2CDF5BE4">
        <w:rPr>
          <w:rFonts w:asciiTheme="minorHAnsi" w:hAnsiTheme="minorHAnsi"/>
          <w:b/>
          <w:bCs/>
          <w:color w:val="002060"/>
          <w:sz w:val="24"/>
          <w:u w:val="single"/>
          <w:lang w:val="en-GB" w:eastAsia="en-GB"/>
        </w:rPr>
        <w:t>December</w:t>
      </w:r>
      <w:r w:rsidRPr="2CDF5BE4">
        <w:rPr>
          <w:rFonts w:asciiTheme="minorHAnsi" w:hAnsiTheme="minorHAnsi"/>
          <w:b/>
          <w:bCs/>
          <w:color w:val="002060"/>
          <w:sz w:val="24"/>
          <w:lang w:val="en-GB" w:eastAsia="en-GB"/>
        </w:rPr>
        <w:t xml:space="preserve">, so there is time to assess and ensure it has been their normal way of </w:t>
      </w:r>
      <w:proofErr w:type="gramStart"/>
      <w:r w:rsidRPr="2CDF5BE4">
        <w:rPr>
          <w:rFonts w:asciiTheme="minorHAnsi" w:hAnsiTheme="minorHAnsi"/>
          <w:b/>
          <w:bCs/>
          <w:color w:val="002060"/>
          <w:sz w:val="24"/>
          <w:lang w:val="en-GB" w:eastAsia="en-GB"/>
        </w:rPr>
        <w:t>working</w:t>
      </w:r>
      <w:proofErr w:type="gramEnd"/>
    </w:p>
    <w:p w14:paraId="25AAC424" w14:textId="77777777" w:rsidR="009174F4" w:rsidRPr="009174F4" w:rsidRDefault="009174F4" w:rsidP="2CDF5BE4">
      <w:pPr>
        <w:spacing w:line="276" w:lineRule="auto"/>
        <w:rPr>
          <w:rFonts w:asciiTheme="minorHAnsi" w:hAnsiTheme="minorHAnsi"/>
          <w:b/>
          <w:bCs/>
          <w:color w:val="002060"/>
          <w:sz w:val="24"/>
          <w:u w:val="thick"/>
        </w:rPr>
      </w:pPr>
    </w:p>
    <w:sectPr w:rsidR="009174F4" w:rsidRPr="009174F4" w:rsidSect="00E66F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D67E1"/>
    <w:multiLevelType w:val="hybridMultilevel"/>
    <w:tmpl w:val="CF84B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524210"/>
    <w:multiLevelType w:val="hybridMultilevel"/>
    <w:tmpl w:val="35E87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A71F10"/>
    <w:multiLevelType w:val="hybridMultilevel"/>
    <w:tmpl w:val="D0943A6E"/>
    <w:lvl w:ilvl="0" w:tplc="06BEF3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9A26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58B5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228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E09B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9ECA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CEEC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1610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80C4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6048201">
    <w:abstractNumId w:val="2"/>
  </w:num>
  <w:num w:numId="2" w16cid:durableId="271280915">
    <w:abstractNumId w:val="1"/>
  </w:num>
  <w:num w:numId="3" w16cid:durableId="605770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F98"/>
    <w:rsid w:val="00120DF1"/>
    <w:rsid w:val="00227697"/>
    <w:rsid w:val="003A762B"/>
    <w:rsid w:val="00512114"/>
    <w:rsid w:val="009174F4"/>
    <w:rsid w:val="00A843B1"/>
    <w:rsid w:val="00E66F98"/>
    <w:rsid w:val="00F6144F"/>
    <w:rsid w:val="00FF5581"/>
    <w:rsid w:val="025524A4"/>
    <w:rsid w:val="027627B2"/>
    <w:rsid w:val="0280B1C5"/>
    <w:rsid w:val="15E6CF91"/>
    <w:rsid w:val="1788BBD5"/>
    <w:rsid w:val="1E906108"/>
    <w:rsid w:val="21A4C892"/>
    <w:rsid w:val="26644932"/>
    <w:rsid w:val="2ACC7F3E"/>
    <w:rsid w:val="2CDF5BE4"/>
    <w:rsid w:val="2D5F4D41"/>
    <w:rsid w:val="2D79112F"/>
    <w:rsid w:val="3F7951DF"/>
    <w:rsid w:val="45424213"/>
    <w:rsid w:val="461EC847"/>
    <w:rsid w:val="4B62B093"/>
    <w:rsid w:val="682C1B5B"/>
    <w:rsid w:val="6D47EC1E"/>
    <w:rsid w:val="797F094E"/>
    <w:rsid w:val="7D2A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21624"/>
  <w15:chartTrackingRefBased/>
  <w15:docId w15:val="{BC6B64E5-F30C-4505-81F8-9CD4A2B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F98"/>
    <w:pPr>
      <w:spacing w:after="0" w:line="264" w:lineRule="auto"/>
    </w:pPr>
    <w:rPr>
      <w:rFonts w:ascii="Georgia" w:eastAsiaTheme="minorEastAsia" w:hAnsi="Georgia"/>
      <w:kern w:val="0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2111</Characters>
  <Application>Microsoft Office Word</Application>
  <DocSecurity>0</DocSecurity>
  <Lines>17</Lines>
  <Paragraphs>4</Paragraphs>
  <ScaleCrop>false</ScaleCrop>
  <Company>Xaverian College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Poke</dc:creator>
  <cp:keywords/>
  <dc:description/>
  <cp:lastModifiedBy>Jo Poke</cp:lastModifiedBy>
  <cp:revision>2</cp:revision>
  <dcterms:created xsi:type="dcterms:W3CDTF">2024-09-27T12:15:00Z</dcterms:created>
  <dcterms:modified xsi:type="dcterms:W3CDTF">2024-09-27T12:15:00Z</dcterms:modified>
</cp:coreProperties>
</file>